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3D5600" w14:textId="77777777" w:rsidR="000866CC" w:rsidRDefault="007831BD">
      <w:pPr>
        <w:spacing w:before="100" w:after="100"/>
        <w:jc w:val="center"/>
        <w:rPr>
          <w:rFonts w:ascii="Georgia" w:eastAsia="Georgia" w:hAnsi="Georgia" w:cs="Georgia"/>
          <w:sz w:val="36"/>
          <w:szCs w:val="36"/>
        </w:rPr>
      </w:pPr>
      <w:r>
        <w:rPr>
          <w:rFonts w:ascii="Georgia" w:eastAsia="Georgia" w:hAnsi="Georgia" w:cs="Georgia"/>
          <w:sz w:val="36"/>
          <w:szCs w:val="36"/>
        </w:rPr>
        <w:t>TULSE HILL AND DULWICH HOCKEY CLUB LIMITED (Company)</w:t>
      </w:r>
    </w:p>
    <w:p w14:paraId="7A18E99B" w14:textId="77777777" w:rsidR="000866CC" w:rsidRDefault="007831BD">
      <w:pPr>
        <w:spacing w:before="100" w:after="100"/>
        <w:jc w:val="center"/>
        <w:rPr>
          <w:rFonts w:ascii="Arial" w:eastAsia="Arial" w:hAnsi="Arial" w:cs="Arial"/>
          <w:sz w:val="22"/>
          <w:szCs w:val="22"/>
        </w:rPr>
      </w:pPr>
      <w:r>
        <w:rPr>
          <w:rFonts w:ascii="Georgia" w:eastAsia="Georgia" w:hAnsi="Georgia" w:cs="Georgia"/>
          <w:sz w:val="36"/>
          <w:szCs w:val="36"/>
        </w:rPr>
        <w:br/>
      </w:r>
      <w:r>
        <w:rPr>
          <w:rFonts w:ascii="Georgia" w:eastAsia="Georgia" w:hAnsi="Georgia" w:cs="Georgia"/>
          <w:b/>
          <w:sz w:val="36"/>
          <w:szCs w:val="36"/>
        </w:rPr>
        <w:t>Annual General Meeting</w:t>
      </w:r>
      <w:r>
        <w:rPr>
          <w:rFonts w:ascii="Georgia" w:eastAsia="Georgia" w:hAnsi="Georgia" w:cs="Georgia"/>
          <w:b/>
          <w:sz w:val="36"/>
          <w:szCs w:val="36"/>
        </w:rPr>
        <w:br/>
        <w:t>Proxy Form</w:t>
      </w:r>
      <w:r>
        <w:rPr>
          <w:rFonts w:ascii="Georgia" w:eastAsia="Georgia" w:hAnsi="Georgia" w:cs="Georgia"/>
          <w:b/>
          <w:sz w:val="36"/>
          <w:szCs w:val="36"/>
        </w:rPr>
        <w:br/>
      </w:r>
      <w:r>
        <w:rPr>
          <w:rFonts w:ascii="Arial" w:eastAsia="Arial" w:hAnsi="Arial" w:cs="Arial"/>
          <w:sz w:val="22"/>
          <w:szCs w:val="22"/>
        </w:rPr>
        <w:br/>
      </w:r>
      <w:r>
        <w:rPr>
          <w:rFonts w:ascii="Arial" w:eastAsia="Arial" w:hAnsi="Arial" w:cs="Arial"/>
          <w:b/>
          <w:sz w:val="22"/>
          <w:szCs w:val="22"/>
        </w:rPr>
        <w:t xml:space="preserve">Before completing this form, please read the explanatory notes below/overleaf </w:t>
      </w:r>
    </w:p>
    <w:p w14:paraId="28C6D493" w14:textId="77777777" w:rsidR="000866CC" w:rsidRDefault="000866CC">
      <w:pPr>
        <w:spacing w:before="100" w:after="100"/>
        <w:rPr>
          <w:rFonts w:ascii="Arial" w:eastAsia="Arial" w:hAnsi="Arial" w:cs="Arial"/>
          <w:sz w:val="22"/>
          <w:szCs w:val="22"/>
        </w:rPr>
      </w:pPr>
    </w:p>
    <w:p w14:paraId="6ED5C937" w14:textId="77777777" w:rsidR="000866CC" w:rsidRDefault="007831BD">
      <w:pPr>
        <w:spacing w:before="100" w:after="100"/>
        <w:rPr>
          <w:rFonts w:ascii="Arial" w:eastAsia="Arial" w:hAnsi="Arial" w:cs="Arial"/>
          <w:sz w:val="22"/>
          <w:szCs w:val="22"/>
        </w:rPr>
      </w:pPr>
      <w:proofErr w:type="gramStart"/>
      <w:r>
        <w:rPr>
          <w:rFonts w:ascii="Arial" w:eastAsia="Arial" w:hAnsi="Arial" w:cs="Arial"/>
          <w:sz w:val="22"/>
          <w:szCs w:val="22"/>
        </w:rPr>
        <w:t>I,…</w:t>
      </w:r>
      <w:proofErr w:type="gramEnd"/>
      <w:r>
        <w:rPr>
          <w:rFonts w:ascii="Arial" w:eastAsia="Arial" w:hAnsi="Arial" w:cs="Arial"/>
          <w:sz w:val="22"/>
          <w:szCs w:val="22"/>
        </w:rPr>
        <w:t xml:space="preserve">………………………….being a member of the Company appoint the Chairman of the meeting or (see note 3) </w:t>
      </w:r>
    </w:p>
    <w:tbl>
      <w:tblPr>
        <w:tblStyle w:val="a"/>
        <w:tblW w:w="9360" w:type="dxa"/>
        <w:tblInd w:w="75" w:type="dxa"/>
        <w:tblLayout w:type="fixed"/>
        <w:tblLook w:val="0000" w:firstRow="0" w:lastRow="0" w:firstColumn="0" w:lastColumn="0" w:noHBand="0" w:noVBand="0"/>
      </w:tblPr>
      <w:tblGrid>
        <w:gridCol w:w="9360"/>
      </w:tblGrid>
      <w:tr w:rsidR="000866CC" w14:paraId="6A679D71" w14:textId="77777777">
        <w:tc>
          <w:tcPr>
            <w:tcW w:w="9360" w:type="dxa"/>
            <w:tcBorders>
              <w:top w:val="single" w:sz="6" w:space="0" w:color="000000"/>
              <w:left w:val="single" w:sz="6" w:space="0" w:color="000000"/>
              <w:bottom w:val="single" w:sz="6" w:space="0" w:color="000000"/>
              <w:right w:val="single" w:sz="6" w:space="0" w:color="000000"/>
            </w:tcBorders>
          </w:tcPr>
          <w:p w14:paraId="1A953D91" w14:textId="77777777" w:rsidR="000866CC" w:rsidRDefault="000866CC">
            <w:pPr>
              <w:spacing w:before="100" w:after="100"/>
              <w:rPr>
                <w:rFonts w:ascii="Arial" w:eastAsia="Arial" w:hAnsi="Arial" w:cs="Arial"/>
                <w:sz w:val="22"/>
                <w:szCs w:val="22"/>
              </w:rPr>
            </w:pPr>
          </w:p>
        </w:tc>
      </w:tr>
    </w:tbl>
    <w:p w14:paraId="240FF9FA" w14:textId="0E85DFB2" w:rsidR="000866CC" w:rsidRDefault="007831BD">
      <w:pPr>
        <w:spacing w:before="100" w:after="100"/>
        <w:rPr>
          <w:rFonts w:ascii="Arial" w:eastAsia="Arial" w:hAnsi="Arial" w:cs="Arial"/>
          <w:sz w:val="22"/>
          <w:szCs w:val="22"/>
        </w:rPr>
      </w:pPr>
      <w:r>
        <w:rPr>
          <w:rFonts w:ascii="Arial" w:eastAsia="Arial" w:hAnsi="Arial" w:cs="Arial"/>
          <w:sz w:val="22"/>
          <w:szCs w:val="22"/>
        </w:rPr>
        <w:t>as my proxy to attend, speak and vote on my behalf at the Annual General Meeting of the Company to be held</w:t>
      </w:r>
      <w:r w:rsidR="001A5E42">
        <w:rPr>
          <w:rFonts w:ascii="Arial" w:eastAsia="Arial" w:hAnsi="Arial" w:cs="Arial"/>
          <w:sz w:val="22"/>
          <w:szCs w:val="22"/>
        </w:rPr>
        <w:t xml:space="preserve"> at </w:t>
      </w:r>
      <w:r w:rsidR="000A29E5">
        <w:rPr>
          <w:rFonts w:ascii="Arial" w:eastAsia="Arial" w:hAnsi="Arial" w:cs="Arial"/>
          <w:sz w:val="22"/>
          <w:szCs w:val="22"/>
        </w:rPr>
        <w:t>1.00</w:t>
      </w:r>
      <w:r w:rsidR="00C24451">
        <w:rPr>
          <w:rFonts w:ascii="Arial" w:eastAsia="Arial" w:hAnsi="Arial" w:cs="Arial"/>
          <w:sz w:val="22"/>
          <w:szCs w:val="22"/>
        </w:rPr>
        <w:t xml:space="preserve"> </w:t>
      </w:r>
      <w:r w:rsidR="001A5E42">
        <w:rPr>
          <w:rFonts w:ascii="Arial" w:eastAsia="Arial" w:hAnsi="Arial" w:cs="Arial"/>
          <w:sz w:val="22"/>
          <w:szCs w:val="22"/>
        </w:rPr>
        <w:t xml:space="preserve">pm </w:t>
      </w:r>
      <w:r>
        <w:rPr>
          <w:rFonts w:ascii="Arial" w:eastAsia="Arial" w:hAnsi="Arial" w:cs="Arial"/>
          <w:sz w:val="22"/>
          <w:szCs w:val="22"/>
        </w:rPr>
        <w:t xml:space="preserve">on </w:t>
      </w:r>
      <w:r w:rsidR="000A29E5">
        <w:rPr>
          <w:rFonts w:ascii="Arial" w:eastAsia="Arial" w:hAnsi="Arial" w:cs="Arial"/>
          <w:sz w:val="22"/>
          <w:szCs w:val="22"/>
        </w:rPr>
        <w:t>25</w:t>
      </w:r>
      <w:r>
        <w:rPr>
          <w:rFonts w:ascii="Arial" w:eastAsia="Arial" w:hAnsi="Arial" w:cs="Arial"/>
          <w:sz w:val="22"/>
          <w:szCs w:val="22"/>
        </w:rPr>
        <w:t xml:space="preserve"> July 20</w:t>
      </w:r>
      <w:r w:rsidR="00A249EB">
        <w:rPr>
          <w:rFonts w:ascii="Arial" w:eastAsia="Arial" w:hAnsi="Arial" w:cs="Arial"/>
          <w:sz w:val="22"/>
          <w:szCs w:val="22"/>
        </w:rPr>
        <w:t>2</w:t>
      </w:r>
      <w:r w:rsidR="00C24451">
        <w:rPr>
          <w:rFonts w:ascii="Arial" w:eastAsia="Arial" w:hAnsi="Arial" w:cs="Arial"/>
          <w:sz w:val="22"/>
          <w:szCs w:val="22"/>
        </w:rPr>
        <w:t>1</w:t>
      </w:r>
      <w:r>
        <w:rPr>
          <w:rFonts w:ascii="Arial" w:eastAsia="Arial" w:hAnsi="Arial" w:cs="Arial"/>
          <w:sz w:val="22"/>
          <w:szCs w:val="22"/>
        </w:rPr>
        <w:t xml:space="preserve"> and at any adjournment of the meeting. </w:t>
      </w:r>
    </w:p>
    <w:p w14:paraId="13F5C450" w14:textId="77777777" w:rsidR="000866CC" w:rsidRDefault="007831BD">
      <w:pPr>
        <w:tabs>
          <w:tab w:val="left" w:pos="3015"/>
        </w:tabs>
        <w:spacing w:before="100" w:after="100"/>
        <w:rPr>
          <w:rFonts w:ascii="Arial" w:eastAsia="Arial" w:hAnsi="Arial" w:cs="Arial"/>
          <w:sz w:val="22"/>
          <w:szCs w:val="22"/>
        </w:rPr>
      </w:pPr>
      <w:r>
        <w:rPr>
          <w:rFonts w:ascii="Arial" w:eastAsia="Arial" w:hAnsi="Arial" w:cs="Arial"/>
          <w:sz w:val="22"/>
          <w:szCs w:val="22"/>
        </w:rPr>
        <w:tab/>
      </w:r>
    </w:p>
    <w:p w14:paraId="5678F865" w14:textId="77777777" w:rsidR="000866CC" w:rsidRDefault="007831BD">
      <w:pPr>
        <w:spacing w:before="100" w:after="100"/>
        <w:rPr>
          <w:rFonts w:ascii="Arial" w:eastAsia="Arial" w:hAnsi="Arial" w:cs="Arial"/>
          <w:sz w:val="22"/>
          <w:szCs w:val="22"/>
        </w:rPr>
      </w:pPr>
      <w:r>
        <w:rPr>
          <w:rFonts w:ascii="Arial" w:eastAsia="Arial" w:hAnsi="Arial" w:cs="Arial"/>
          <w:sz w:val="22"/>
          <w:szCs w:val="22"/>
        </w:rPr>
        <w:t xml:space="preserve">I direct my proxy to vote on the following resolutions as I have indicated by marking the appropriate box with an 'X'. If no indication is given, my proxy will vote or abstain from voting at his or her discretion and I </w:t>
      </w:r>
      <w:proofErr w:type="spellStart"/>
      <w:r>
        <w:rPr>
          <w:rFonts w:ascii="Arial" w:eastAsia="Arial" w:hAnsi="Arial" w:cs="Arial"/>
          <w:sz w:val="22"/>
          <w:szCs w:val="22"/>
        </w:rPr>
        <w:t>authorise</w:t>
      </w:r>
      <w:proofErr w:type="spellEnd"/>
      <w:r>
        <w:rPr>
          <w:rFonts w:ascii="Arial" w:eastAsia="Arial" w:hAnsi="Arial" w:cs="Arial"/>
          <w:sz w:val="22"/>
          <w:szCs w:val="22"/>
        </w:rPr>
        <w:t xml:space="preserve"> my proxy to vote (or abstain from voting) as he or she thinks fit in relation to any other matter which is properly put before the meeting.</w:t>
      </w:r>
    </w:p>
    <w:p w14:paraId="79DE1188" w14:textId="77777777" w:rsidR="000866CC" w:rsidRDefault="000866CC">
      <w:pPr>
        <w:spacing w:before="100" w:after="100"/>
        <w:rPr>
          <w:rFonts w:ascii="Arial" w:eastAsia="Arial" w:hAnsi="Arial" w:cs="Arial"/>
          <w:sz w:val="22"/>
          <w:szCs w:val="22"/>
        </w:rPr>
      </w:pPr>
    </w:p>
    <w:tbl>
      <w:tblPr>
        <w:tblStyle w:val="a0"/>
        <w:tblW w:w="9507" w:type="dxa"/>
        <w:tblInd w:w="-67" w:type="dxa"/>
        <w:tblLayout w:type="fixed"/>
        <w:tblLook w:val="0000" w:firstRow="0" w:lastRow="0" w:firstColumn="0" w:lastColumn="0" w:noHBand="0" w:noVBand="0"/>
      </w:tblPr>
      <w:tblGrid>
        <w:gridCol w:w="6462"/>
        <w:gridCol w:w="1485"/>
        <w:gridCol w:w="1560"/>
      </w:tblGrid>
      <w:tr w:rsidR="000866CC" w14:paraId="6150F6C0" w14:textId="77777777">
        <w:tc>
          <w:tcPr>
            <w:tcW w:w="6462" w:type="dxa"/>
            <w:tcBorders>
              <w:top w:val="single" w:sz="6" w:space="0" w:color="000000"/>
              <w:left w:val="single" w:sz="6" w:space="0" w:color="000000"/>
              <w:bottom w:val="single" w:sz="6" w:space="0" w:color="000000"/>
              <w:right w:val="single" w:sz="6" w:space="0" w:color="000000"/>
            </w:tcBorders>
          </w:tcPr>
          <w:p w14:paraId="57537C40" w14:textId="77777777" w:rsidR="000866CC" w:rsidRDefault="007831BD">
            <w:pPr>
              <w:spacing w:before="100" w:after="100"/>
              <w:rPr>
                <w:rFonts w:ascii="Arial" w:eastAsia="Arial" w:hAnsi="Arial" w:cs="Arial"/>
                <w:sz w:val="22"/>
                <w:szCs w:val="22"/>
              </w:rPr>
            </w:pPr>
            <w:r>
              <w:rPr>
                <w:rFonts w:ascii="Arial" w:eastAsia="Arial" w:hAnsi="Arial" w:cs="Arial"/>
                <w:b/>
                <w:sz w:val="22"/>
                <w:szCs w:val="22"/>
              </w:rPr>
              <w:t>RESOLUTIONS</w:t>
            </w:r>
          </w:p>
        </w:tc>
        <w:tc>
          <w:tcPr>
            <w:tcW w:w="1485" w:type="dxa"/>
            <w:tcBorders>
              <w:top w:val="single" w:sz="6" w:space="0" w:color="000000"/>
              <w:left w:val="single" w:sz="6" w:space="0" w:color="000000"/>
              <w:bottom w:val="single" w:sz="6" w:space="0" w:color="000000"/>
              <w:right w:val="single" w:sz="6" w:space="0" w:color="000000"/>
            </w:tcBorders>
          </w:tcPr>
          <w:p w14:paraId="38D2882E" w14:textId="77777777" w:rsidR="000866CC" w:rsidRDefault="007831BD">
            <w:pPr>
              <w:spacing w:before="100" w:after="100"/>
              <w:rPr>
                <w:rFonts w:ascii="Arial" w:eastAsia="Arial" w:hAnsi="Arial" w:cs="Arial"/>
                <w:sz w:val="22"/>
                <w:szCs w:val="22"/>
              </w:rPr>
            </w:pPr>
            <w:r>
              <w:rPr>
                <w:rFonts w:ascii="Arial" w:eastAsia="Arial" w:hAnsi="Arial" w:cs="Arial"/>
                <w:sz w:val="22"/>
                <w:szCs w:val="22"/>
              </w:rPr>
              <w:t>For</w:t>
            </w:r>
          </w:p>
        </w:tc>
        <w:tc>
          <w:tcPr>
            <w:tcW w:w="1560" w:type="dxa"/>
            <w:tcBorders>
              <w:top w:val="single" w:sz="6" w:space="0" w:color="000000"/>
              <w:left w:val="single" w:sz="6" w:space="0" w:color="000000"/>
              <w:bottom w:val="single" w:sz="6" w:space="0" w:color="000000"/>
              <w:right w:val="single" w:sz="6" w:space="0" w:color="000000"/>
            </w:tcBorders>
          </w:tcPr>
          <w:p w14:paraId="7FBF19E2" w14:textId="77777777" w:rsidR="000866CC" w:rsidRDefault="007831BD">
            <w:pPr>
              <w:spacing w:before="100" w:after="100"/>
              <w:rPr>
                <w:rFonts w:ascii="Arial" w:eastAsia="Arial" w:hAnsi="Arial" w:cs="Arial"/>
                <w:sz w:val="22"/>
                <w:szCs w:val="22"/>
              </w:rPr>
            </w:pPr>
            <w:r>
              <w:rPr>
                <w:rFonts w:ascii="Arial" w:eastAsia="Arial" w:hAnsi="Arial" w:cs="Arial"/>
                <w:sz w:val="22"/>
                <w:szCs w:val="22"/>
              </w:rPr>
              <w:t>Against</w:t>
            </w:r>
          </w:p>
        </w:tc>
      </w:tr>
      <w:tr w:rsidR="000866CC" w14:paraId="3A42568E" w14:textId="77777777">
        <w:tc>
          <w:tcPr>
            <w:tcW w:w="6462" w:type="dxa"/>
            <w:tcBorders>
              <w:top w:val="single" w:sz="6" w:space="0" w:color="000000"/>
              <w:left w:val="single" w:sz="6" w:space="0" w:color="000000"/>
              <w:bottom w:val="single" w:sz="6" w:space="0" w:color="000000"/>
              <w:right w:val="single" w:sz="6" w:space="0" w:color="000000"/>
            </w:tcBorders>
          </w:tcPr>
          <w:p w14:paraId="7A170321" w14:textId="77777777" w:rsidR="000866CC" w:rsidRDefault="007831BD">
            <w:pPr>
              <w:spacing w:before="100" w:after="100"/>
              <w:rPr>
                <w:rFonts w:ascii="Arial" w:eastAsia="Arial" w:hAnsi="Arial" w:cs="Arial"/>
                <w:sz w:val="22"/>
                <w:szCs w:val="22"/>
              </w:rPr>
            </w:pPr>
            <w:r>
              <w:rPr>
                <w:rFonts w:ascii="Arial" w:eastAsia="Arial" w:hAnsi="Arial" w:cs="Arial"/>
                <w:b/>
                <w:sz w:val="22"/>
                <w:szCs w:val="22"/>
              </w:rPr>
              <w:t xml:space="preserve">ORDINARY </w:t>
            </w:r>
          </w:p>
        </w:tc>
        <w:tc>
          <w:tcPr>
            <w:tcW w:w="1485" w:type="dxa"/>
            <w:tcBorders>
              <w:top w:val="single" w:sz="6" w:space="0" w:color="000000"/>
              <w:left w:val="single" w:sz="6" w:space="0" w:color="000000"/>
              <w:bottom w:val="single" w:sz="6" w:space="0" w:color="000000"/>
              <w:right w:val="single" w:sz="6" w:space="0" w:color="000000"/>
            </w:tcBorders>
          </w:tcPr>
          <w:p w14:paraId="5FE011F5" w14:textId="77777777" w:rsidR="000866CC" w:rsidRDefault="000866CC">
            <w:pPr>
              <w:spacing w:before="100" w:after="100"/>
              <w:rPr>
                <w:rFonts w:ascii="Arial" w:eastAsia="Arial" w:hAnsi="Arial" w:cs="Arial"/>
                <w:sz w:val="22"/>
                <w:szCs w:val="22"/>
              </w:rPr>
            </w:pPr>
          </w:p>
        </w:tc>
        <w:tc>
          <w:tcPr>
            <w:tcW w:w="1560" w:type="dxa"/>
            <w:tcBorders>
              <w:top w:val="single" w:sz="6" w:space="0" w:color="000000"/>
              <w:left w:val="single" w:sz="6" w:space="0" w:color="000000"/>
              <w:bottom w:val="single" w:sz="6" w:space="0" w:color="000000"/>
              <w:right w:val="single" w:sz="6" w:space="0" w:color="000000"/>
            </w:tcBorders>
          </w:tcPr>
          <w:p w14:paraId="321DBF58" w14:textId="77777777" w:rsidR="000866CC" w:rsidRDefault="000866CC">
            <w:pPr>
              <w:spacing w:before="100" w:after="100"/>
              <w:rPr>
                <w:rFonts w:ascii="Arial" w:eastAsia="Arial" w:hAnsi="Arial" w:cs="Arial"/>
                <w:sz w:val="22"/>
                <w:szCs w:val="22"/>
              </w:rPr>
            </w:pPr>
          </w:p>
        </w:tc>
      </w:tr>
      <w:tr w:rsidR="000866CC" w14:paraId="638ED34A" w14:textId="77777777">
        <w:tc>
          <w:tcPr>
            <w:tcW w:w="6462" w:type="dxa"/>
            <w:tcBorders>
              <w:top w:val="single" w:sz="6" w:space="0" w:color="000000"/>
              <w:left w:val="single" w:sz="6" w:space="0" w:color="000000"/>
              <w:bottom w:val="single" w:sz="6" w:space="0" w:color="000000"/>
              <w:right w:val="single" w:sz="6" w:space="0" w:color="000000"/>
            </w:tcBorders>
          </w:tcPr>
          <w:p w14:paraId="0535AA55" w14:textId="1D66E440" w:rsidR="000866CC" w:rsidRDefault="007831BD">
            <w:pPr>
              <w:numPr>
                <w:ilvl w:val="0"/>
                <w:numId w:val="1"/>
              </w:numPr>
              <w:rPr>
                <w:rFonts w:ascii="Arial" w:eastAsia="Arial" w:hAnsi="Arial" w:cs="Arial"/>
                <w:sz w:val="22"/>
                <w:szCs w:val="22"/>
              </w:rPr>
            </w:pPr>
            <w:r>
              <w:rPr>
                <w:rFonts w:ascii="Arial" w:eastAsia="Arial" w:hAnsi="Arial" w:cs="Arial"/>
                <w:sz w:val="22"/>
                <w:szCs w:val="22"/>
              </w:rPr>
              <w:t xml:space="preserve">To elect as a </w:t>
            </w:r>
            <w:proofErr w:type="gramStart"/>
            <w:r>
              <w:rPr>
                <w:rFonts w:ascii="Arial" w:eastAsia="Arial" w:hAnsi="Arial" w:cs="Arial"/>
                <w:sz w:val="22"/>
                <w:szCs w:val="22"/>
              </w:rPr>
              <w:t>Director</w:t>
            </w:r>
            <w:proofErr w:type="gramEnd"/>
            <w:r w:rsidR="00C24451">
              <w:rPr>
                <w:rFonts w:ascii="Arial" w:eastAsia="Arial" w:hAnsi="Arial" w:cs="Arial"/>
                <w:sz w:val="22"/>
                <w:szCs w:val="22"/>
              </w:rPr>
              <w:t>: Keith Howick, retiring by rotation but being eligible offering himself for re-election.</w:t>
            </w:r>
          </w:p>
        </w:tc>
        <w:tc>
          <w:tcPr>
            <w:tcW w:w="1485" w:type="dxa"/>
            <w:tcBorders>
              <w:top w:val="single" w:sz="6" w:space="0" w:color="000000"/>
              <w:left w:val="single" w:sz="6" w:space="0" w:color="000000"/>
              <w:bottom w:val="single" w:sz="6" w:space="0" w:color="000000"/>
              <w:right w:val="single" w:sz="6" w:space="0" w:color="000000"/>
            </w:tcBorders>
          </w:tcPr>
          <w:p w14:paraId="76D43101" w14:textId="77777777" w:rsidR="000866CC" w:rsidRDefault="000866CC">
            <w:pPr>
              <w:spacing w:before="100" w:after="100"/>
              <w:rPr>
                <w:rFonts w:ascii="Arial" w:eastAsia="Arial" w:hAnsi="Arial" w:cs="Arial"/>
                <w:sz w:val="22"/>
                <w:szCs w:val="22"/>
              </w:rPr>
            </w:pPr>
          </w:p>
        </w:tc>
        <w:tc>
          <w:tcPr>
            <w:tcW w:w="1560" w:type="dxa"/>
            <w:tcBorders>
              <w:top w:val="single" w:sz="6" w:space="0" w:color="000000"/>
              <w:left w:val="single" w:sz="6" w:space="0" w:color="000000"/>
              <w:bottom w:val="single" w:sz="6" w:space="0" w:color="000000"/>
              <w:right w:val="single" w:sz="6" w:space="0" w:color="000000"/>
            </w:tcBorders>
          </w:tcPr>
          <w:p w14:paraId="4568E10F" w14:textId="77777777" w:rsidR="000866CC" w:rsidRDefault="000866CC">
            <w:pPr>
              <w:spacing w:before="100" w:after="100"/>
              <w:rPr>
                <w:rFonts w:ascii="Arial" w:eastAsia="Arial" w:hAnsi="Arial" w:cs="Arial"/>
                <w:sz w:val="22"/>
                <w:szCs w:val="22"/>
              </w:rPr>
            </w:pPr>
          </w:p>
        </w:tc>
      </w:tr>
      <w:tr w:rsidR="000866CC" w14:paraId="354A4039" w14:textId="77777777">
        <w:tc>
          <w:tcPr>
            <w:tcW w:w="6462" w:type="dxa"/>
            <w:tcBorders>
              <w:top w:val="single" w:sz="6" w:space="0" w:color="000000"/>
              <w:left w:val="single" w:sz="6" w:space="0" w:color="000000"/>
              <w:bottom w:val="single" w:sz="6" w:space="0" w:color="000000"/>
              <w:right w:val="single" w:sz="6" w:space="0" w:color="000000"/>
            </w:tcBorders>
          </w:tcPr>
          <w:p w14:paraId="794CABB9" w14:textId="26705BB6" w:rsidR="000866CC" w:rsidRDefault="007831BD">
            <w:pPr>
              <w:numPr>
                <w:ilvl w:val="0"/>
                <w:numId w:val="1"/>
              </w:numPr>
              <w:rPr>
                <w:rFonts w:ascii="Arial" w:eastAsia="Arial" w:hAnsi="Arial" w:cs="Arial"/>
                <w:sz w:val="22"/>
                <w:szCs w:val="22"/>
              </w:rPr>
            </w:pPr>
            <w:r>
              <w:rPr>
                <w:rFonts w:ascii="Arial" w:eastAsia="Arial" w:hAnsi="Arial" w:cs="Arial"/>
                <w:sz w:val="22"/>
                <w:szCs w:val="22"/>
              </w:rPr>
              <w:t xml:space="preserve">To elect as </w:t>
            </w:r>
            <w:r w:rsidR="00A249EB">
              <w:rPr>
                <w:rFonts w:ascii="Arial" w:eastAsia="Arial" w:hAnsi="Arial" w:cs="Arial"/>
                <w:sz w:val="22"/>
                <w:szCs w:val="22"/>
              </w:rPr>
              <w:t xml:space="preserve">a </w:t>
            </w:r>
            <w:proofErr w:type="gramStart"/>
            <w:r>
              <w:rPr>
                <w:rFonts w:ascii="Arial" w:eastAsia="Arial" w:hAnsi="Arial" w:cs="Arial"/>
                <w:sz w:val="22"/>
                <w:szCs w:val="22"/>
              </w:rPr>
              <w:t>Director</w:t>
            </w:r>
            <w:proofErr w:type="gramEnd"/>
            <w:r>
              <w:rPr>
                <w:rFonts w:ascii="Arial" w:eastAsia="Arial" w:hAnsi="Arial" w:cs="Arial"/>
                <w:sz w:val="22"/>
                <w:szCs w:val="22"/>
              </w:rPr>
              <w:t xml:space="preserve">:  </w:t>
            </w:r>
            <w:r w:rsidR="00C24451">
              <w:rPr>
                <w:rFonts w:ascii="Arial" w:eastAsia="Arial" w:hAnsi="Arial" w:cs="Arial"/>
                <w:sz w:val="22"/>
                <w:szCs w:val="22"/>
              </w:rPr>
              <w:t>Gordon Nurse</w:t>
            </w:r>
            <w:r w:rsidR="00A249EB">
              <w:rPr>
                <w:rFonts w:ascii="Arial" w:eastAsia="Arial" w:hAnsi="Arial" w:cs="Arial"/>
                <w:sz w:val="22"/>
                <w:szCs w:val="22"/>
              </w:rPr>
              <w:t xml:space="preserve">, </w:t>
            </w:r>
            <w:r>
              <w:rPr>
                <w:rFonts w:ascii="Arial" w:eastAsia="Arial" w:hAnsi="Arial" w:cs="Arial"/>
                <w:sz w:val="22"/>
                <w:szCs w:val="22"/>
              </w:rPr>
              <w:t xml:space="preserve">retiring by rotation but being eligible offering </w:t>
            </w:r>
            <w:r w:rsidR="00A249EB">
              <w:rPr>
                <w:rFonts w:ascii="Arial" w:eastAsia="Arial" w:hAnsi="Arial" w:cs="Arial"/>
                <w:sz w:val="22"/>
                <w:szCs w:val="22"/>
              </w:rPr>
              <w:t>himself</w:t>
            </w:r>
            <w:r>
              <w:rPr>
                <w:rFonts w:ascii="Arial" w:eastAsia="Arial" w:hAnsi="Arial" w:cs="Arial"/>
                <w:sz w:val="22"/>
                <w:szCs w:val="22"/>
              </w:rPr>
              <w:t xml:space="preserve"> for re-election.</w:t>
            </w:r>
          </w:p>
        </w:tc>
        <w:tc>
          <w:tcPr>
            <w:tcW w:w="1485" w:type="dxa"/>
            <w:tcBorders>
              <w:top w:val="single" w:sz="6" w:space="0" w:color="000000"/>
              <w:left w:val="single" w:sz="6" w:space="0" w:color="000000"/>
              <w:bottom w:val="single" w:sz="6" w:space="0" w:color="000000"/>
              <w:right w:val="single" w:sz="6" w:space="0" w:color="000000"/>
            </w:tcBorders>
          </w:tcPr>
          <w:p w14:paraId="0D64E35A" w14:textId="77777777" w:rsidR="000866CC" w:rsidRDefault="000866CC">
            <w:pPr>
              <w:spacing w:before="100" w:after="100"/>
              <w:rPr>
                <w:rFonts w:ascii="Arial" w:eastAsia="Arial" w:hAnsi="Arial" w:cs="Arial"/>
                <w:sz w:val="22"/>
                <w:szCs w:val="22"/>
              </w:rPr>
            </w:pPr>
          </w:p>
        </w:tc>
        <w:tc>
          <w:tcPr>
            <w:tcW w:w="1560" w:type="dxa"/>
            <w:tcBorders>
              <w:top w:val="single" w:sz="6" w:space="0" w:color="000000"/>
              <w:left w:val="single" w:sz="6" w:space="0" w:color="000000"/>
              <w:bottom w:val="single" w:sz="6" w:space="0" w:color="000000"/>
              <w:right w:val="single" w:sz="6" w:space="0" w:color="000000"/>
            </w:tcBorders>
          </w:tcPr>
          <w:p w14:paraId="7272B302" w14:textId="77777777" w:rsidR="000866CC" w:rsidRDefault="000866CC">
            <w:pPr>
              <w:spacing w:before="100" w:after="100"/>
              <w:rPr>
                <w:rFonts w:ascii="Arial" w:eastAsia="Arial" w:hAnsi="Arial" w:cs="Arial"/>
                <w:sz w:val="22"/>
                <w:szCs w:val="22"/>
              </w:rPr>
            </w:pPr>
          </w:p>
        </w:tc>
      </w:tr>
      <w:tr w:rsidR="000866CC" w14:paraId="7F5013B2" w14:textId="77777777">
        <w:tc>
          <w:tcPr>
            <w:tcW w:w="6462" w:type="dxa"/>
            <w:tcBorders>
              <w:top w:val="single" w:sz="6" w:space="0" w:color="000000"/>
              <w:left w:val="single" w:sz="6" w:space="0" w:color="000000"/>
              <w:bottom w:val="single" w:sz="6" w:space="0" w:color="000000"/>
              <w:right w:val="single" w:sz="6" w:space="0" w:color="000000"/>
            </w:tcBorders>
          </w:tcPr>
          <w:p w14:paraId="7C8EA524" w14:textId="77777777" w:rsidR="000866CC" w:rsidRDefault="007831BD">
            <w:pPr>
              <w:numPr>
                <w:ilvl w:val="0"/>
                <w:numId w:val="1"/>
              </w:numPr>
              <w:spacing w:before="100" w:after="100"/>
              <w:rPr>
                <w:rFonts w:ascii="Arial" w:eastAsia="Arial" w:hAnsi="Arial" w:cs="Arial"/>
                <w:sz w:val="22"/>
                <w:szCs w:val="22"/>
              </w:rPr>
            </w:pPr>
            <w:r>
              <w:rPr>
                <w:rFonts w:ascii="Arial" w:eastAsia="Arial" w:hAnsi="Arial" w:cs="Arial"/>
                <w:sz w:val="22"/>
                <w:szCs w:val="22"/>
              </w:rPr>
              <w:t xml:space="preserve">To reappoint Claire </w:t>
            </w:r>
            <w:proofErr w:type="spellStart"/>
            <w:r>
              <w:rPr>
                <w:rFonts w:ascii="Arial" w:eastAsia="Arial" w:hAnsi="Arial" w:cs="Arial"/>
                <w:sz w:val="22"/>
                <w:szCs w:val="22"/>
              </w:rPr>
              <w:t>Mottershead</w:t>
            </w:r>
            <w:proofErr w:type="spellEnd"/>
            <w:r>
              <w:rPr>
                <w:rFonts w:ascii="Arial" w:eastAsia="Arial" w:hAnsi="Arial" w:cs="Arial"/>
                <w:sz w:val="22"/>
                <w:szCs w:val="22"/>
              </w:rPr>
              <w:t xml:space="preserve"> as independent examiner and to </w:t>
            </w:r>
            <w:proofErr w:type="spellStart"/>
            <w:r>
              <w:rPr>
                <w:rFonts w:ascii="Arial" w:eastAsia="Arial" w:hAnsi="Arial" w:cs="Arial"/>
                <w:sz w:val="22"/>
                <w:szCs w:val="22"/>
              </w:rPr>
              <w:t>authorise</w:t>
            </w:r>
            <w:proofErr w:type="spellEnd"/>
            <w:r>
              <w:rPr>
                <w:rFonts w:ascii="Arial" w:eastAsia="Arial" w:hAnsi="Arial" w:cs="Arial"/>
                <w:sz w:val="22"/>
                <w:szCs w:val="22"/>
              </w:rPr>
              <w:t xml:space="preserve"> the Directors to determine her remuneration.</w:t>
            </w:r>
          </w:p>
        </w:tc>
        <w:tc>
          <w:tcPr>
            <w:tcW w:w="1485" w:type="dxa"/>
            <w:tcBorders>
              <w:top w:val="single" w:sz="6" w:space="0" w:color="000000"/>
              <w:left w:val="single" w:sz="6" w:space="0" w:color="000000"/>
              <w:bottom w:val="single" w:sz="6" w:space="0" w:color="000000"/>
              <w:right w:val="single" w:sz="6" w:space="0" w:color="000000"/>
            </w:tcBorders>
          </w:tcPr>
          <w:p w14:paraId="07625F80" w14:textId="77777777" w:rsidR="000866CC" w:rsidRDefault="000866CC">
            <w:pPr>
              <w:rPr>
                <w:rFonts w:ascii="Arial" w:eastAsia="Arial" w:hAnsi="Arial" w:cs="Arial"/>
                <w:sz w:val="22"/>
                <w:szCs w:val="22"/>
              </w:rPr>
            </w:pPr>
          </w:p>
        </w:tc>
        <w:tc>
          <w:tcPr>
            <w:tcW w:w="1560" w:type="dxa"/>
            <w:tcBorders>
              <w:top w:val="single" w:sz="6" w:space="0" w:color="000000"/>
              <w:left w:val="single" w:sz="6" w:space="0" w:color="000000"/>
              <w:bottom w:val="single" w:sz="6" w:space="0" w:color="000000"/>
              <w:right w:val="single" w:sz="6" w:space="0" w:color="000000"/>
            </w:tcBorders>
          </w:tcPr>
          <w:p w14:paraId="63F66A12" w14:textId="77777777" w:rsidR="000866CC" w:rsidRDefault="000866CC">
            <w:pPr>
              <w:rPr>
                <w:rFonts w:ascii="Arial" w:eastAsia="Arial" w:hAnsi="Arial" w:cs="Arial"/>
                <w:sz w:val="22"/>
                <w:szCs w:val="22"/>
              </w:rPr>
            </w:pPr>
          </w:p>
        </w:tc>
      </w:tr>
      <w:tr w:rsidR="000866CC" w14:paraId="1FFB37FB" w14:textId="77777777">
        <w:tc>
          <w:tcPr>
            <w:tcW w:w="6462" w:type="dxa"/>
            <w:tcBorders>
              <w:top w:val="single" w:sz="6" w:space="0" w:color="000000"/>
              <w:left w:val="single" w:sz="6" w:space="0" w:color="000000"/>
              <w:bottom w:val="single" w:sz="6" w:space="0" w:color="000000"/>
              <w:right w:val="single" w:sz="6" w:space="0" w:color="000000"/>
            </w:tcBorders>
          </w:tcPr>
          <w:p w14:paraId="3E1087BA" w14:textId="72EF0205" w:rsidR="000866CC" w:rsidRDefault="000866CC" w:rsidP="004743C8">
            <w:pPr>
              <w:ind w:left="360"/>
              <w:rPr>
                <w:rFonts w:ascii="Arial" w:eastAsia="Arial" w:hAnsi="Arial" w:cs="Arial"/>
                <w:sz w:val="22"/>
                <w:szCs w:val="22"/>
              </w:rPr>
            </w:pPr>
          </w:p>
        </w:tc>
        <w:tc>
          <w:tcPr>
            <w:tcW w:w="1485" w:type="dxa"/>
            <w:tcBorders>
              <w:top w:val="single" w:sz="6" w:space="0" w:color="000000"/>
              <w:left w:val="single" w:sz="6" w:space="0" w:color="000000"/>
              <w:bottom w:val="single" w:sz="6" w:space="0" w:color="000000"/>
              <w:right w:val="single" w:sz="6" w:space="0" w:color="000000"/>
            </w:tcBorders>
          </w:tcPr>
          <w:p w14:paraId="1B33D259" w14:textId="77777777" w:rsidR="000866CC" w:rsidRDefault="000866CC">
            <w:pPr>
              <w:rPr>
                <w:rFonts w:ascii="Arial" w:eastAsia="Arial" w:hAnsi="Arial" w:cs="Arial"/>
                <w:sz w:val="22"/>
                <w:szCs w:val="22"/>
              </w:rPr>
            </w:pPr>
          </w:p>
        </w:tc>
        <w:tc>
          <w:tcPr>
            <w:tcW w:w="1560" w:type="dxa"/>
            <w:tcBorders>
              <w:top w:val="single" w:sz="6" w:space="0" w:color="000000"/>
              <w:left w:val="single" w:sz="6" w:space="0" w:color="000000"/>
              <w:bottom w:val="single" w:sz="6" w:space="0" w:color="000000"/>
              <w:right w:val="single" w:sz="6" w:space="0" w:color="000000"/>
            </w:tcBorders>
          </w:tcPr>
          <w:p w14:paraId="2E1969C3" w14:textId="77777777" w:rsidR="000866CC" w:rsidRDefault="000866CC">
            <w:pPr>
              <w:rPr>
                <w:rFonts w:ascii="Arial" w:eastAsia="Arial" w:hAnsi="Arial" w:cs="Arial"/>
                <w:sz w:val="22"/>
                <w:szCs w:val="22"/>
              </w:rPr>
            </w:pPr>
          </w:p>
        </w:tc>
      </w:tr>
    </w:tbl>
    <w:p w14:paraId="039F5F5F" w14:textId="77777777" w:rsidR="000866CC" w:rsidRDefault="000866CC">
      <w:pPr>
        <w:spacing w:before="100" w:after="100"/>
        <w:rPr>
          <w:rFonts w:ascii="Arial" w:eastAsia="Arial" w:hAnsi="Arial" w:cs="Arial"/>
          <w:sz w:val="22"/>
          <w:szCs w:val="22"/>
        </w:rPr>
      </w:pPr>
    </w:p>
    <w:tbl>
      <w:tblPr>
        <w:tblStyle w:val="a1"/>
        <w:tblW w:w="9510" w:type="dxa"/>
        <w:tblInd w:w="-60" w:type="dxa"/>
        <w:tblLayout w:type="fixed"/>
        <w:tblLook w:val="0000" w:firstRow="0" w:lastRow="0" w:firstColumn="0" w:lastColumn="0" w:noHBand="0" w:noVBand="0"/>
      </w:tblPr>
      <w:tblGrid>
        <w:gridCol w:w="5295"/>
        <w:gridCol w:w="4215"/>
      </w:tblGrid>
      <w:tr w:rsidR="000866CC" w14:paraId="0717233B" w14:textId="77777777">
        <w:tc>
          <w:tcPr>
            <w:tcW w:w="5295" w:type="dxa"/>
            <w:tcBorders>
              <w:top w:val="single" w:sz="6" w:space="0" w:color="000000"/>
              <w:left w:val="single" w:sz="6" w:space="0" w:color="000000"/>
              <w:bottom w:val="single" w:sz="6" w:space="0" w:color="000000"/>
              <w:right w:val="single" w:sz="6" w:space="0" w:color="000000"/>
            </w:tcBorders>
          </w:tcPr>
          <w:p w14:paraId="141A620F" w14:textId="77777777" w:rsidR="000866CC" w:rsidRDefault="007831BD">
            <w:pPr>
              <w:spacing w:before="100" w:after="100"/>
              <w:rPr>
                <w:rFonts w:ascii="Arial" w:eastAsia="Arial" w:hAnsi="Arial" w:cs="Arial"/>
                <w:sz w:val="22"/>
                <w:szCs w:val="22"/>
              </w:rPr>
            </w:pPr>
            <w:r>
              <w:rPr>
                <w:rFonts w:ascii="Arial" w:eastAsia="Arial" w:hAnsi="Arial" w:cs="Arial"/>
                <w:b/>
                <w:sz w:val="22"/>
                <w:szCs w:val="22"/>
              </w:rPr>
              <w:t>Signature</w:t>
            </w:r>
          </w:p>
        </w:tc>
        <w:tc>
          <w:tcPr>
            <w:tcW w:w="4215" w:type="dxa"/>
            <w:tcBorders>
              <w:top w:val="single" w:sz="6" w:space="0" w:color="000000"/>
              <w:left w:val="single" w:sz="6" w:space="0" w:color="000000"/>
              <w:bottom w:val="single" w:sz="6" w:space="0" w:color="000000"/>
              <w:right w:val="single" w:sz="6" w:space="0" w:color="000000"/>
            </w:tcBorders>
          </w:tcPr>
          <w:p w14:paraId="533082CF" w14:textId="77777777" w:rsidR="000866CC" w:rsidRDefault="007831BD">
            <w:pPr>
              <w:spacing w:before="100" w:after="100"/>
              <w:rPr>
                <w:rFonts w:ascii="Arial" w:eastAsia="Arial" w:hAnsi="Arial" w:cs="Arial"/>
                <w:sz w:val="22"/>
                <w:szCs w:val="22"/>
              </w:rPr>
            </w:pPr>
            <w:r>
              <w:rPr>
                <w:rFonts w:ascii="Arial" w:eastAsia="Arial" w:hAnsi="Arial" w:cs="Arial"/>
                <w:b/>
                <w:sz w:val="22"/>
                <w:szCs w:val="22"/>
              </w:rPr>
              <w:t>Date</w:t>
            </w:r>
          </w:p>
        </w:tc>
      </w:tr>
      <w:tr w:rsidR="000866CC" w14:paraId="60F9245F" w14:textId="77777777">
        <w:tc>
          <w:tcPr>
            <w:tcW w:w="5295" w:type="dxa"/>
            <w:tcBorders>
              <w:top w:val="single" w:sz="6" w:space="0" w:color="000000"/>
              <w:left w:val="single" w:sz="6" w:space="0" w:color="000000"/>
              <w:bottom w:val="single" w:sz="6" w:space="0" w:color="000000"/>
              <w:right w:val="single" w:sz="6" w:space="0" w:color="000000"/>
            </w:tcBorders>
          </w:tcPr>
          <w:p w14:paraId="1DAF54B8" w14:textId="77777777" w:rsidR="000866CC" w:rsidRDefault="000866CC">
            <w:pPr>
              <w:spacing w:before="100" w:after="100"/>
              <w:rPr>
                <w:rFonts w:ascii="Arial" w:eastAsia="Arial" w:hAnsi="Arial" w:cs="Arial"/>
                <w:sz w:val="22"/>
                <w:szCs w:val="22"/>
              </w:rPr>
            </w:pPr>
          </w:p>
        </w:tc>
        <w:tc>
          <w:tcPr>
            <w:tcW w:w="4215" w:type="dxa"/>
            <w:tcBorders>
              <w:top w:val="single" w:sz="6" w:space="0" w:color="000000"/>
              <w:left w:val="single" w:sz="6" w:space="0" w:color="000000"/>
              <w:bottom w:val="single" w:sz="6" w:space="0" w:color="000000"/>
              <w:right w:val="single" w:sz="6" w:space="0" w:color="000000"/>
            </w:tcBorders>
          </w:tcPr>
          <w:p w14:paraId="6A51D8DA" w14:textId="77777777" w:rsidR="000866CC" w:rsidRDefault="000866CC">
            <w:pPr>
              <w:spacing w:before="100" w:after="100"/>
              <w:rPr>
                <w:rFonts w:ascii="Arial" w:eastAsia="Arial" w:hAnsi="Arial" w:cs="Arial"/>
                <w:sz w:val="22"/>
                <w:szCs w:val="22"/>
              </w:rPr>
            </w:pPr>
          </w:p>
        </w:tc>
      </w:tr>
    </w:tbl>
    <w:p w14:paraId="50F5300B" w14:textId="77777777" w:rsidR="000866CC" w:rsidRDefault="000866CC">
      <w:pPr>
        <w:spacing w:before="100" w:after="100"/>
        <w:rPr>
          <w:rFonts w:ascii="Arial" w:eastAsia="Arial" w:hAnsi="Arial" w:cs="Arial"/>
          <w:sz w:val="22"/>
          <w:szCs w:val="22"/>
        </w:rPr>
      </w:pPr>
    </w:p>
    <w:p w14:paraId="7EA4AF3A" w14:textId="77777777" w:rsidR="000866CC" w:rsidRDefault="007831BD">
      <w:pPr>
        <w:spacing w:before="100" w:after="100"/>
        <w:rPr>
          <w:rFonts w:ascii="Arial" w:eastAsia="Arial" w:hAnsi="Arial" w:cs="Arial"/>
          <w:b/>
          <w:sz w:val="22"/>
          <w:szCs w:val="22"/>
        </w:rPr>
      </w:pPr>
      <w:r>
        <w:br w:type="page"/>
      </w:r>
    </w:p>
    <w:p w14:paraId="0EE32EC6" w14:textId="77777777" w:rsidR="000866CC" w:rsidRDefault="007831BD">
      <w:pPr>
        <w:spacing w:before="100" w:after="100"/>
        <w:rPr>
          <w:rFonts w:ascii="Arial" w:eastAsia="Arial" w:hAnsi="Arial" w:cs="Arial"/>
          <w:sz w:val="22"/>
          <w:szCs w:val="22"/>
        </w:rPr>
      </w:pPr>
      <w:r>
        <w:rPr>
          <w:rFonts w:ascii="Arial" w:eastAsia="Arial" w:hAnsi="Arial" w:cs="Arial"/>
          <w:b/>
          <w:sz w:val="22"/>
          <w:szCs w:val="22"/>
        </w:rPr>
        <w:lastRenderedPageBreak/>
        <w:t>Notes to the proxy form</w:t>
      </w:r>
    </w:p>
    <w:p w14:paraId="3C860838" w14:textId="77777777" w:rsidR="000866CC" w:rsidRDefault="007831BD">
      <w:pPr>
        <w:numPr>
          <w:ilvl w:val="0"/>
          <w:numId w:val="2"/>
        </w:numPr>
        <w:spacing w:before="100" w:after="200"/>
        <w:rPr>
          <w:rFonts w:ascii="Arial" w:eastAsia="Arial" w:hAnsi="Arial" w:cs="Arial"/>
          <w:sz w:val="22"/>
          <w:szCs w:val="22"/>
        </w:rPr>
      </w:pPr>
      <w:r>
        <w:rPr>
          <w:rFonts w:ascii="Arial" w:eastAsia="Arial" w:hAnsi="Arial" w:cs="Arial"/>
          <w:sz w:val="22"/>
          <w:szCs w:val="22"/>
        </w:rPr>
        <w:t>As a member of the Company you are entitled to appoint a proxy to exercise all or any of your rights to attend, speak and vote at a general meeting of the Company. You can only appoint a proxy using the procedures set out in these notes.</w:t>
      </w:r>
    </w:p>
    <w:p w14:paraId="7CF61F36" w14:textId="77777777" w:rsidR="000866CC" w:rsidRDefault="007831BD">
      <w:pPr>
        <w:numPr>
          <w:ilvl w:val="0"/>
          <w:numId w:val="2"/>
        </w:numPr>
        <w:spacing w:before="100" w:after="200"/>
        <w:rPr>
          <w:rFonts w:ascii="Arial" w:eastAsia="Arial" w:hAnsi="Arial" w:cs="Arial"/>
          <w:sz w:val="22"/>
          <w:szCs w:val="22"/>
        </w:rPr>
      </w:pPr>
      <w:r>
        <w:rPr>
          <w:rFonts w:ascii="Arial" w:eastAsia="Arial" w:hAnsi="Arial" w:cs="Arial"/>
          <w:sz w:val="22"/>
          <w:szCs w:val="22"/>
        </w:rPr>
        <w:t>Appointment of a proxy does not preclude you from attending the meeting and voting in person. If you have appointed a proxy and attend the meeting in person, your proxy appointment will automatically be terminated.</w:t>
      </w:r>
    </w:p>
    <w:p w14:paraId="091856C7" w14:textId="43629EB4" w:rsidR="000866CC" w:rsidRDefault="007831BD">
      <w:pPr>
        <w:numPr>
          <w:ilvl w:val="0"/>
          <w:numId w:val="2"/>
        </w:numPr>
        <w:spacing w:before="100" w:after="200"/>
        <w:rPr>
          <w:rFonts w:ascii="Arial" w:eastAsia="Arial" w:hAnsi="Arial" w:cs="Arial"/>
          <w:sz w:val="22"/>
          <w:szCs w:val="22"/>
        </w:rPr>
      </w:pPr>
      <w:r>
        <w:rPr>
          <w:rFonts w:ascii="Arial" w:eastAsia="Arial" w:hAnsi="Arial" w:cs="Arial"/>
          <w:sz w:val="22"/>
          <w:szCs w:val="22"/>
        </w:rPr>
        <w:t xml:space="preserve">A proxy does not need to be a member of the Company but must attend the meeting to represent you. </w:t>
      </w:r>
      <w:r w:rsidR="001A5E42">
        <w:rPr>
          <w:rFonts w:ascii="Arial" w:eastAsia="Arial" w:hAnsi="Arial" w:cs="Arial"/>
          <w:sz w:val="22"/>
          <w:szCs w:val="22"/>
        </w:rPr>
        <w:t>As the meeting is to be held with remote access by ‘Zoom’</w:t>
      </w:r>
      <w:r w:rsidR="00313DEF">
        <w:rPr>
          <w:rFonts w:ascii="Arial" w:eastAsia="Arial" w:hAnsi="Arial" w:cs="Arial"/>
          <w:sz w:val="22"/>
          <w:szCs w:val="22"/>
        </w:rPr>
        <w:t xml:space="preserve">, if a proxy is to attend the meeting the link to join the meeting should be obtained from </w:t>
      </w:r>
      <w:hyperlink r:id="rId7" w:history="1">
        <w:r w:rsidR="00313DEF" w:rsidRPr="00CE540B">
          <w:rPr>
            <w:rStyle w:val="Hyperlink"/>
            <w:rFonts w:ascii="Arial" w:eastAsia="Arial" w:hAnsi="Arial" w:cs="Arial"/>
            <w:sz w:val="22"/>
            <w:szCs w:val="22"/>
          </w:rPr>
          <w:t>clare.byrne@thehockeyclub.co.uk</w:t>
        </w:r>
      </w:hyperlink>
      <w:r w:rsidR="00313DEF">
        <w:rPr>
          <w:rFonts w:ascii="Arial" w:eastAsia="Arial" w:hAnsi="Arial" w:cs="Arial"/>
          <w:sz w:val="22"/>
          <w:szCs w:val="22"/>
        </w:rPr>
        <w:t xml:space="preserve"> </w:t>
      </w:r>
      <w:r>
        <w:rPr>
          <w:rFonts w:ascii="Arial" w:eastAsia="Arial" w:hAnsi="Arial" w:cs="Arial"/>
          <w:sz w:val="22"/>
          <w:szCs w:val="22"/>
        </w:rPr>
        <w:t>To appoint as your proxy a person other than the Chairman of the meeting, insert their full name in the box. If you sign and return this proxy form with no name inserted in the box, the Chairman of the meeting will be deemed to be your proxy. Where you appoint as your proxy someone other than the Chairman, you are responsible for ensuring that they attend the meeting and are aware of your voting intentions. If you wish your proxy to make any comments on your behalf, you will need to appoint someone other than the Chairman and give them the relevant instructions directly.</w:t>
      </w:r>
    </w:p>
    <w:p w14:paraId="05C5C306" w14:textId="77777777" w:rsidR="000866CC" w:rsidRDefault="007831BD">
      <w:pPr>
        <w:numPr>
          <w:ilvl w:val="0"/>
          <w:numId w:val="2"/>
        </w:numPr>
        <w:spacing w:before="100" w:after="200"/>
        <w:rPr>
          <w:rFonts w:ascii="Arial" w:eastAsia="Arial" w:hAnsi="Arial" w:cs="Arial"/>
          <w:sz w:val="22"/>
          <w:szCs w:val="22"/>
        </w:rPr>
      </w:pPr>
      <w:r>
        <w:rPr>
          <w:rFonts w:ascii="Arial" w:eastAsia="Arial" w:hAnsi="Arial" w:cs="Arial"/>
          <w:sz w:val="22"/>
          <w:szCs w:val="22"/>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w:t>
      </w:r>
    </w:p>
    <w:p w14:paraId="32240110" w14:textId="588E5C43" w:rsidR="000866CC" w:rsidRPr="001A5E42" w:rsidRDefault="007831BD" w:rsidP="001A5E42">
      <w:pPr>
        <w:numPr>
          <w:ilvl w:val="0"/>
          <w:numId w:val="2"/>
        </w:numPr>
        <w:spacing w:before="100" w:after="200"/>
        <w:rPr>
          <w:rFonts w:ascii="Arial" w:eastAsia="Arial" w:hAnsi="Arial" w:cs="Arial"/>
          <w:sz w:val="22"/>
          <w:szCs w:val="22"/>
        </w:rPr>
      </w:pPr>
      <w:r>
        <w:rPr>
          <w:rFonts w:ascii="Arial" w:eastAsia="Arial" w:hAnsi="Arial" w:cs="Arial"/>
          <w:sz w:val="22"/>
          <w:szCs w:val="22"/>
        </w:rPr>
        <w:t xml:space="preserve">To appoint a proxy </w:t>
      </w:r>
      <w:r w:rsidR="001A5E42">
        <w:rPr>
          <w:rFonts w:ascii="Arial" w:eastAsia="Arial" w:hAnsi="Arial" w:cs="Arial"/>
          <w:sz w:val="22"/>
          <w:szCs w:val="22"/>
        </w:rPr>
        <w:t xml:space="preserve">you should do so </w:t>
      </w:r>
      <w:r w:rsidRPr="001A5E42">
        <w:rPr>
          <w:rFonts w:ascii="Arial" w:eastAsia="Arial" w:hAnsi="Arial" w:cs="Arial"/>
          <w:sz w:val="22"/>
          <w:szCs w:val="22"/>
        </w:rPr>
        <w:t>by signing</w:t>
      </w:r>
      <w:r w:rsidR="001A5E42">
        <w:rPr>
          <w:rFonts w:ascii="Arial" w:eastAsia="Arial" w:hAnsi="Arial" w:cs="Arial"/>
          <w:sz w:val="22"/>
          <w:szCs w:val="22"/>
        </w:rPr>
        <w:t xml:space="preserve"> this form</w:t>
      </w:r>
      <w:r w:rsidRPr="001A5E42">
        <w:rPr>
          <w:rFonts w:ascii="Arial" w:eastAsia="Arial" w:hAnsi="Arial" w:cs="Arial"/>
          <w:sz w:val="22"/>
          <w:szCs w:val="22"/>
        </w:rPr>
        <w:t>,</w:t>
      </w:r>
      <w:r w:rsidR="001A5E42">
        <w:rPr>
          <w:rFonts w:ascii="Arial" w:eastAsia="Arial" w:hAnsi="Arial" w:cs="Arial"/>
          <w:sz w:val="22"/>
          <w:szCs w:val="22"/>
        </w:rPr>
        <w:t xml:space="preserve"> and</w:t>
      </w:r>
      <w:r w:rsidRPr="001A5E42">
        <w:rPr>
          <w:rFonts w:ascii="Arial" w:eastAsia="Arial" w:hAnsi="Arial" w:cs="Arial"/>
          <w:sz w:val="22"/>
          <w:szCs w:val="22"/>
        </w:rPr>
        <w:t xml:space="preserve"> scanning and sending the scanned proxy form t</w:t>
      </w:r>
      <w:r w:rsidR="001A5E42">
        <w:rPr>
          <w:rFonts w:ascii="Arial" w:eastAsia="Arial" w:hAnsi="Arial" w:cs="Arial"/>
          <w:sz w:val="22"/>
          <w:szCs w:val="22"/>
        </w:rPr>
        <w:t xml:space="preserve">o the Company c/o </w:t>
      </w:r>
      <w:hyperlink r:id="rId8" w:history="1">
        <w:r w:rsidR="001A5E42" w:rsidRPr="00CE540B">
          <w:rPr>
            <w:rStyle w:val="Hyperlink"/>
            <w:rFonts w:ascii="Arial" w:eastAsia="Arial" w:hAnsi="Arial" w:cs="Arial"/>
            <w:sz w:val="22"/>
            <w:szCs w:val="22"/>
          </w:rPr>
          <w:t>clare.byrne@thehockeyclub.co.uk</w:t>
        </w:r>
      </w:hyperlink>
      <w:r w:rsidR="001A5E42">
        <w:rPr>
          <w:rFonts w:ascii="Arial" w:eastAsia="Arial" w:hAnsi="Arial" w:cs="Arial"/>
          <w:sz w:val="22"/>
          <w:szCs w:val="22"/>
        </w:rPr>
        <w:t xml:space="preserve"> </w:t>
      </w:r>
      <w:r w:rsidRPr="001A5E42">
        <w:rPr>
          <w:rFonts w:ascii="Arial" w:eastAsia="Arial" w:hAnsi="Arial" w:cs="Arial"/>
          <w:sz w:val="22"/>
          <w:szCs w:val="22"/>
        </w:rPr>
        <w:t xml:space="preserve">  For an electronic proxy appointment to be valid, your appointment must be received by the Company no later than 5.00pm on </w:t>
      </w:r>
      <w:r w:rsidR="000A29E5">
        <w:rPr>
          <w:rFonts w:ascii="Arial" w:eastAsia="Arial" w:hAnsi="Arial" w:cs="Arial"/>
          <w:sz w:val="22"/>
          <w:szCs w:val="22"/>
        </w:rPr>
        <w:t xml:space="preserve">24 </w:t>
      </w:r>
      <w:r w:rsidRPr="001A5E42">
        <w:rPr>
          <w:rFonts w:ascii="Arial" w:eastAsia="Arial" w:hAnsi="Arial" w:cs="Arial"/>
          <w:sz w:val="22"/>
          <w:szCs w:val="22"/>
        </w:rPr>
        <w:t>July 20</w:t>
      </w:r>
      <w:r w:rsidR="00A249EB" w:rsidRPr="001A5E42">
        <w:rPr>
          <w:rFonts w:ascii="Arial" w:eastAsia="Arial" w:hAnsi="Arial" w:cs="Arial"/>
          <w:sz w:val="22"/>
          <w:szCs w:val="22"/>
        </w:rPr>
        <w:t>2</w:t>
      </w:r>
      <w:r w:rsidR="00C24451">
        <w:rPr>
          <w:rFonts w:ascii="Arial" w:eastAsia="Arial" w:hAnsi="Arial" w:cs="Arial"/>
          <w:sz w:val="22"/>
          <w:szCs w:val="22"/>
        </w:rPr>
        <w:t>1</w:t>
      </w:r>
      <w:r w:rsidRPr="001A5E42">
        <w:rPr>
          <w:rFonts w:ascii="Arial" w:eastAsia="Arial" w:hAnsi="Arial" w:cs="Arial"/>
          <w:sz w:val="22"/>
          <w:szCs w:val="22"/>
        </w:rPr>
        <w:t>.</w:t>
      </w:r>
    </w:p>
    <w:p w14:paraId="2A4988DF" w14:textId="77777777" w:rsidR="000866CC" w:rsidRDefault="007831BD">
      <w:pPr>
        <w:numPr>
          <w:ilvl w:val="0"/>
          <w:numId w:val="2"/>
        </w:numPr>
        <w:spacing w:before="100" w:after="200"/>
        <w:rPr>
          <w:rFonts w:ascii="Arial" w:eastAsia="Arial" w:hAnsi="Arial" w:cs="Arial"/>
          <w:sz w:val="22"/>
          <w:szCs w:val="22"/>
        </w:rPr>
      </w:pPr>
      <w:r>
        <w:rPr>
          <w:rFonts w:ascii="Arial" w:eastAsia="Arial" w:hAnsi="Arial" w:cs="Arial"/>
          <w:sz w:val="22"/>
          <w:szCs w:val="22"/>
        </w:rPr>
        <w:t>If you submit more than one valid proxy appointment, the appointment received last before the latest time for the receipt of proxies will take precedence.</w:t>
      </w:r>
    </w:p>
    <w:p w14:paraId="6214A67B" w14:textId="77777777" w:rsidR="000866CC" w:rsidRDefault="007831BD">
      <w:pPr>
        <w:numPr>
          <w:ilvl w:val="0"/>
          <w:numId w:val="2"/>
        </w:numPr>
        <w:spacing w:before="100" w:after="200"/>
        <w:rPr>
          <w:rFonts w:ascii="Arial" w:eastAsia="Arial" w:hAnsi="Arial" w:cs="Arial"/>
          <w:sz w:val="22"/>
          <w:szCs w:val="22"/>
        </w:rPr>
      </w:pPr>
      <w:r>
        <w:rPr>
          <w:rFonts w:ascii="Arial" w:eastAsia="Arial" w:hAnsi="Arial" w:cs="Arial"/>
          <w:sz w:val="22"/>
          <w:szCs w:val="22"/>
        </w:rPr>
        <w:t>You may not use any electronic address provided in this proxy form to communicate with the Company for any purposes other than those expressly stated.</w:t>
      </w:r>
    </w:p>
    <w:sectPr w:rsidR="000866CC">
      <w:headerReference w:type="even" r:id="rId9"/>
      <w:headerReference w:type="default" r:id="rId10"/>
      <w:footerReference w:type="even" r:id="rId11"/>
      <w:footerReference w:type="default" r:id="rId12"/>
      <w:headerReference w:type="first" r:id="rId13"/>
      <w:footerReference w:type="first" r:id="rId14"/>
      <w:pgSz w:w="11900" w:h="16840"/>
      <w:pgMar w:top="2239" w:right="1080" w:bottom="709"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6181D" w14:textId="77777777" w:rsidR="00D20FB0" w:rsidRDefault="00D20FB0">
      <w:r>
        <w:separator/>
      </w:r>
    </w:p>
  </w:endnote>
  <w:endnote w:type="continuationSeparator" w:id="0">
    <w:p w14:paraId="681D6843" w14:textId="77777777" w:rsidR="00D20FB0" w:rsidRDefault="00D2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1CAF" w14:textId="77777777" w:rsidR="00F524F3" w:rsidRDefault="00F52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ED48" w14:textId="77777777" w:rsidR="000866CC" w:rsidRDefault="007831BD">
    <w:pPr>
      <w:pBdr>
        <w:top w:val="nil"/>
        <w:left w:val="nil"/>
        <w:bottom w:val="nil"/>
        <w:right w:val="nil"/>
        <w:between w:val="nil"/>
      </w:pBdr>
      <w:tabs>
        <w:tab w:val="center" w:pos="4513"/>
        <w:tab w:val="right" w:pos="9026"/>
      </w:tabs>
      <w:spacing w:after="708"/>
      <w:rPr>
        <w:color w:val="000000"/>
      </w:rPr>
    </w:pPr>
    <w:r>
      <w:rPr>
        <w:noProof/>
      </w:rPr>
      <w:drawing>
        <wp:anchor distT="0" distB="0" distL="0" distR="0" simplePos="0" relativeHeight="251660288" behindDoc="0" locked="0" layoutInCell="1" hidden="0" allowOverlap="1" wp14:anchorId="7DB611ED" wp14:editId="4CDAB33F">
          <wp:simplePos x="0" y="0"/>
          <wp:positionH relativeFrom="margin">
            <wp:posOffset>-942974</wp:posOffset>
          </wp:positionH>
          <wp:positionV relativeFrom="paragraph">
            <wp:posOffset>57150</wp:posOffset>
          </wp:positionV>
          <wp:extent cx="7918240" cy="489656"/>
          <wp:effectExtent l="0" t="0" r="0" b="0"/>
          <wp:wrapNone/>
          <wp:docPr id="2" name="image5.png" descr="C:\Users\chynds\Downloads\Grass_Footer.PNG"/>
          <wp:cNvGraphicFramePr/>
          <a:graphic xmlns:a="http://schemas.openxmlformats.org/drawingml/2006/main">
            <a:graphicData uri="http://schemas.openxmlformats.org/drawingml/2006/picture">
              <pic:pic xmlns:pic="http://schemas.openxmlformats.org/drawingml/2006/picture">
                <pic:nvPicPr>
                  <pic:cNvPr id="0" name="image5.png" descr="C:\Users\chynds\Downloads\Grass_Footer.PNG"/>
                  <pic:cNvPicPr preferRelativeResize="0"/>
                </pic:nvPicPr>
                <pic:blipFill>
                  <a:blip r:embed="rId1"/>
                  <a:srcRect t="58799"/>
                  <a:stretch>
                    <a:fillRect/>
                  </a:stretch>
                </pic:blipFill>
                <pic:spPr>
                  <a:xfrm>
                    <a:off x="0" y="0"/>
                    <a:ext cx="7918240" cy="489656"/>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46D3" w14:textId="77777777" w:rsidR="00F524F3" w:rsidRDefault="00F52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866E7" w14:textId="77777777" w:rsidR="00D20FB0" w:rsidRDefault="00D20FB0">
      <w:r>
        <w:separator/>
      </w:r>
    </w:p>
  </w:footnote>
  <w:footnote w:type="continuationSeparator" w:id="0">
    <w:p w14:paraId="2558FE26" w14:textId="77777777" w:rsidR="00D20FB0" w:rsidRDefault="00D2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F574" w14:textId="77777777" w:rsidR="00F524F3" w:rsidRDefault="00F52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7D13" w14:textId="77777777" w:rsidR="000866CC" w:rsidRDefault="007831BD">
    <w:pPr>
      <w:pBdr>
        <w:top w:val="nil"/>
        <w:left w:val="nil"/>
        <w:bottom w:val="nil"/>
        <w:right w:val="nil"/>
        <w:between w:val="nil"/>
      </w:pBdr>
      <w:tabs>
        <w:tab w:val="center" w:pos="4513"/>
        <w:tab w:val="right" w:pos="9026"/>
      </w:tabs>
      <w:spacing w:before="708"/>
      <w:rPr>
        <w:color w:val="000000"/>
      </w:rPr>
    </w:pPr>
    <w:r>
      <w:rPr>
        <w:noProof/>
      </w:rPr>
      <mc:AlternateContent>
        <mc:Choice Requires="wpg">
          <w:drawing>
            <wp:anchor distT="0" distB="0" distL="114300" distR="114300" simplePos="0" relativeHeight="251658240" behindDoc="0" locked="0" layoutInCell="1" hidden="0" allowOverlap="1" wp14:anchorId="4BD6CD94" wp14:editId="0A9995E3">
              <wp:simplePos x="0" y="0"/>
              <wp:positionH relativeFrom="margin">
                <wp:posOffset>-809624</wp:posOffset>
              </wp:positionH>
              <wp:positionV relativeFrom="paragraph">
                <wp:posOffset>-66674</wp:posOffset>
              </wp:positionV>
              <wp:extent cx="7572375" cy="1221740"/>
              <wp:effectExtent l="0" t="0" r="0" b="0"/>
              <wp:wrapNone/>
              <wp:docPr id="1" name="Rectangle 1"/>
              <wp:cNvGraphicFramePr/>
              <a:graphic xmlns:a="http://schemas.openxmlformats.org/drawingml/2006/main">
                <a:graphicData uri="http://schemas.microsoft.com/office/word/2010/wordprocessingShape">
                  <wps:wsp>
                    <wps:cNvSpPr/>
                    <wps:spPr>
                      <a:xfrm>
                        <a:off x="1216913" y="3184688"/>
                        <a:ext cx="8258175" cy="1190625"/>
                      </a:xfrm>
                      <a:prstGeom prst="rect">
                        <a:avLst/>
                      </a:prstGeom>
                      <a:solidFill>
                        <a:srgbClr val="BE0025"/>
                      </a:solidFill>
                      <a:ln w="9525" cap="flat" cmpd="sng">
                        <a:solidFill>
                          <a:srgbClr val="4A7DBA"/>
                        </a:solidFill>
                        <a:prstDash val="solid"/>
                        <a:round/>
                        <a:headEnd type="none" w="sm" len="sm"/>
                        <a:tailEnd type="none" w="sm" len="sm"/>
                      </a:ln>
                    </wps:spPr>
                    <wps:txbx>
                      <w:txbxContent>
                        <w:p w14:paraId="33746945" w14:textId="77777777" w:rsidR="000866CC" w:rsidRDefault="000866CC">
                          <w:pPr>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-809624</wp:posOffset>
              </wp:positionH>
              <wp:positionV relativeFrom="paragraph">
                <wp:posOffset>-66674</wp:posOffset>
              </wp:positionV>
              <wp:extent cx="7572375" cy="122174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72375" cy="122174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4117E741" wp14:editId="4D0F6E85">
          <wp:simplePos x="0" y="0"/>
          <wp:positionH relativeFrom="margin">
            <wp:posOffset>2105025</wp:posOffset>
          </wp:positionH>
          <wp:positionV relativeFrom="paragraph">
            <wp:posOffset>0</wp:posOffset>
          </wp:positionV>
          <wp:extent cx="1209040" cy="1057275"/>
          <wp:effectExtent l="0" t="0" r="0" b="0"/>
          <wp:wrapNone/>
          <wp:docPr id="3" name="image6.png" descr="C:\Users\chynds\Downloads\THD_logo.png"/>
          <wp:cNvGraphicFramePr/>
          <a:graphic xmlns:a="http://schemas.openxmlformats.org/drawingml/2006/main">
            <a:graphicData uri="http://schemas.openxmlformats.org/drawingml/2006/picture">
              <pic:pic xmlns:pic="http://schemas.openxmlformats.org/drawingml/2006/picture">
                <pic:nvPicPr>
                  <pic:cNvPr id="0" name="image6.png" descr="C:\Users\chynds\Downloads\THD_logo.png"/>
                  <pic:cNvPicPr preferRelativeResize="0"/>
                </pic:nvPicPr>
                <pic:blipFill>
                  <a:blip r:embed="rId2"/>
                  <a:srcRect/>
                  <a:stretch>
                    <a:fillRect/>
                  </a:stretch>
                </pic:blipFill>
                <pic:spPr>
                  <a:xfrm>
                    <a:off x="0" y="0"/>
                    <a:ext cx="1209040" cy="10572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CA5E" w14:textId="77777777" w:rsidR="00F524F3" w:rsidRDefault="00F52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0A7"/>
    <w:multiLevelType w:val="multilevel"/>
    <w:tmpl w:val="4E9AF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F37E4F"/>
    <w:multiLevelType w:val="multilevel"/>
    <w:tmpl w:val="04BC126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866CC"/>
    <w:rsid w:val="000866CC"/>
    <w:rsid w:val="000A29E5"/>
    <w:rsid w:val="00121631"/>
    <w:rsid w:val="001333E7"/>
    <w:rsid w:val="001A5E42"/>
    <w:rsid w:val="00313DEF"/>
    <w:rsid w:val="004743C8"/>
    <w:rsid w:val="004B2348"/>
    <w:rsid w:val="00780EDC"/>
    <w:rsid w:val="007831BD"/>
    <w:rsid w:val="007B470B"/>
    <w:rsid w:val="00A249EB"/>
    <w:rsid w:val="00C24451"/>
    <w:rsid w:val="00D20FB0"/>
    <w:rsid w:val="00E71EAC"/>
    <w:rsid w:val="00F52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CBE1"/>
  <w15:docId w15:val="{2A2B14D9-9A78-C64C-9DFC-71CA9EB7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5" w:type="dxa"/>
        <w:right w:w="75" w:type="dxa"/>
      </w:tblCellMar>
    </w:tblPr>
  </w:style>
  <w:style w:type="table" w:customStyle="1" w:styleId="a0">
    <w:basedOn w:val="TableNormal"/>
    <w:tblPr>
      <w:tblStyleRowBandSize w:val="1"/>
      <w:tblStyleColBandSize w:val="1"/>
      <w:tblCellMar>
        <w:left w:w="75" w:type="dxa"/>
        <w:right w:w="75" w:type="dxa"/>
      </w:tblCellMar>
    </w:tblPr>
  </w:style>
  <w:style w:type="table" w:customStyle="1" w:styleId="a1">
    <w:basedOn w:val="TableNormal"/>
    <w:tblPr>
      <w:tblStyleRowBandSize w:val="1"/>
      <w:tblStyleColBandSize w:val="1"/>
      <w:tblCellMar>
        <w:left w:w="75" w:type="dxa"/>
        <w:right w:w="75" w:type="dxa"/>
      </w:tblCellMar>
    </w:tblPr>
  </w:style>
  <w:style w:type="paragraph" w:styleId="Header">
    <w:name w:val="header"/>
    <w:basedOn w:val="Normal"/>
    <w:link w:val="HeaderChar"/>
    <w:uiPriority w:val="99"/>
    <w:unhideWhenUsed/>
    <w:rsid w:val="00F524F3"/>
    <w:pPr>
      <w:tabs>
        <w:tab w:val="center" w:pos="4513"/>
        <w:tab w:val="right" w:pos="9026"/>
      </w:tabs>
    </w:pPr>
  </w:style>
  <w:style w:type="character" w:customStyle="1" w:styleId="HeaderChar">
    <w:name w:val="Header Char"/>
    <w:basedOn w:val="DefaultParagraphFont"/>
    <w:link w:val="Header"/>
    <w:uiPriority w:val="99"/>
    <w:rsid w:val="00F524F3"/>
  </w:style>
  <w:style w:type="paragraph" w:styleId="Footer">
    <w:name w:val="footer"/>
    <w:basedOn w:val="Normal"/>
    <w:link w:val="FooterChar"/>
    <w:uiPriority w:val="99"/>
    <w:unhideWhenUsed/>
    <w:rsid w:val="00F524F3"/>
    <w:pPr>
      <w:tabs>
        <w:tab w:val="center" w:pos="4513"/>
        <w:tab w:val="right" w:pos="9026"/>
      </w:tabs>
    </w:pPr>
  </w:style>
  <w:style w:type="character" w:customStyle="1" w:styleId="FooterChar">
    <w:name w:val="Footer Char"/>
    <w:basedOn w:val="DefaultParagraphFont"/>
    <w:link w:val="Footer"/>
    <w:uiPriority w:val="99"/>
    <w:rsid w:val="00F524F3"/>
  </w:style>
  <w:style w:type="character" w:styleId="Hyperlink">
    <w:name w:val="Hyperlink"/>
    <w:basedOn w:val="DefaultParagraphFont"/>
    <w:uiPriority w:val="99"/>
    <w:unhideWhenUsed/>
    <w:rsid w:val="001A5E42"/>
    <w:rPr>
      <w:color w:val="0000FF" w:themeColor="hyperlink"/>
      <w:u w:val="single"/>
    </w:rPr>
  </w:style>
  <w:style w:type="character" w:styleId="UnresolvedMention">
    <w:name w:val="Unresolved Mention"/>
    <w:basedOn w:val="DefaultParagraphFont"/>
    <w:uiPriority w:val="99"/>
    <w:semiHidden/>
    <w:unhideWhenUsed/>
    <w:rsid w:val="001A5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lare.byrne@thehockeyclub.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are.byrne@thehockeyclub.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Gordon Nurse</cp:lastModifiedBy>
  <cp:revision>4</cp:revision>
  <dcterms:created xsi:type="dcterms:W3CDTF">2021-06-29T11:11:00Z</dcterms:created>
  <dcterms:modified xsi:type="dcterms:W3CDTF">2021-07-06T13:52:00Z</dcterms:modified>
</cp:coreProperties>
</file>